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4C266" w14:textId="77777777" w:rsidR="004070F9" w:rsidRDefault="004070F9" w:rsidP="004070F9">
      <w:pPr>
        <w:spacing w:after="100" w:afterAutospacing="1"/>
        <w:outlineLvl w:val="1"/>
        <w:rPr>
          <w:rFonts w:ascii="Helvetica" w:eastAsia="Times New Roman" w:hAnsi="Helvetica" w:cs="Helvetica"/>
          <w:b/>
          <w:bCs/>
          <w:color w:val="141414"/>
          <w:sz w:val="36"/>
          <w:szCs w:val="36"/>
        </w:rPr>
      </w:pPr>
      <w:r>
        <w:rPr>
          <w:rFonts w:ascii="Helvetica" w:eastAsia="Times New Roman" w:hAnsi="Helvetica" w:cs="Helvetica"/>
          <w:b/>
          <w:bCs/>
          <w:color w:val="141414"/>
          <w:sz w:val="36"/>
          <w:szCs w:val="36"/>
        </w:rPr>
        <w:t>2. EXEMPTIONS FROM THE EDUCATION AND TRAINING REQUIREMENTS</w:t>
      </w:r>
    </w:p>
    <w:p w14:paraId="2422B459" w14:textId="0DE3602E" w:rsidR="004070F9" w:rsidRDefault="004070F9" w:rsidP="004070F9">
      <w:pPr>
        <w:spacing w:after="100" w:afterAutospacing="1"/>
        <w:rPr>
          <w:rFonts w:ascii="Helvetica" w:eastAsia="Times New Roman" w:hAnsi="Helvetica" w:cs="Helvetica"/>
          <w:color w:val="141414"/>
          <w:sz w:val="27"/>
          <w:szCs w:val="27"/>
        </w:rPr>
      </w:pPr>
      <w:r>
        <w:rPr>
          <w:rFonts w:ascii="Helvetica" w:eastAsia="Times New Roman" w:hAnsi="Helvetica" w:cs="Helvetica"/>
          <w:color w:val="141414"/>
          <w:sz w:val="27"/>
          <w:szCs w:val="27"/>
        </w:rPr>
        <w:t xml:space="preserve">Ideally, all public employees in the Commonwealth would be trained in the conflict-of-interest law. However, </w:t>
      </w:r>
      <w:proofErr w:type="gramStart"/>
      <w:r>
        <w:rPr>
          <w:rFonts w:ascii="Helvetica" w:eastAsia="Times New Roman" w:hAnsi="Helvetica" w:cs="Helvetica"/>
          <w:color w:val="141414"/>
          <w:sz w:val="27"/>
          <w:szCs w:val="27"/>
        </w:rPr>
        <w:t>cost</w:t>
      </w:r>
      <w:proofErr w:type="gramEnd"/>
      <w:r>
        <w:rPr>
          <w:rFonts w:ascii="Helvetica" w:eastAsia="Times New Roman" w:hAnsi="Helvetica" w:cs="Helvetica"/>
          <w:color w:val="141414"/>
          <w:sz w:val="27"/>
          <w:szCs w:val="27"/>
        </w:rPr>
        <w:t xml:space="preserve"> and other practical circumstances require that a principled way be found to exempt certain categories of public employees from the education and training requirements without compromising the objectives of those requirements. The Commission therefore establishes the following guidelines to enable public employers to determine which of their employees are exempt from the education and training requirements.</w:t>
      </w:r>
      <w:r>
        <w:rPr>
          <w:rFonts w:ascii="Helvetica" w:eastAsia="Times New Roman" w:hAnsi="Helvetica" w:cs="Helvetica"/>
          <w:color w:val="141414"/>
          <w:sz w:val="27"/>
          <w:szCs w:val="27"/>
        </w:rPr>
        <w:br/>
      </w:r>
      <w:r>
        <w:rPr>
          <w:rFonts w:ascii="Helvetica" w:eastAsia="Times New Roman" w:hAnsi="Helvetica" w:cs="Helvetica"/>
          <w:color w:val="141414"/>
          <w:sz w:val="27"/>
          <w:szCs w:val="27"/>
        </w:rPr>
        <w:br/>
      </w:r>
      <w:r w:rsidRPr="00B81D4E">
        <w:rPr>
          <w:rFonts w:ascii="Helvetica" w:eastAsia="Times New Roman" w:hAnsi="Helvetica" w:cs="Helvetica"/>
          <w:color w:val="141414"/>
          <w:sz w:val="27"/>
          <w:szCs w:val="27"/>
          <w:highlight w:val="yellow"/>
        </w:rPr>
        <w:t>Each public employer may use the guidelines below to develop a list of positions for which distribution of summaries of the conflict-of-interest law and/or online training are not required. Employers are not required to obtain the Commission's approval of such lists but must maintain such lists as public records and provide them to the Commission on request.</w:t>
      </w:r>
      <w:r>
        <w:rPr>
          <w:rFonts w:ascii="Helvetica" w:eastAsia="Times New Roman" w:hAnsi="Helvetica" w:cs="Helvetica"/>
          <w:color w:val="141414"/>
          <w:sz w:val="27"/>
          <w:szCs w:val="27"/>
        </w:rPr>
        <w:t xml:space="preserve"> If the Commission determines that such a list includes positions which should be subject to the requirements of distribution of summaries and/or online training, it may direct that such positions be removed from the list. Questions about whether </w:t>
      </w:r>
      <w:proofErr w:type="gramStart"/>
      <w:r>
        <w:rPr>
          <w:rFonts w:ascii="Helvetica" w:eastAsia="Times New Roman" w:hAnsi="Helvetica" w:cs="Helvetica"/>
          <w:color w:val="141414"/>
          <w:sz w:val="27"/>
          <w:szCs w:val="27"/>
        </w:rPr>
        <w:t>particular positions</w:t>
      </w:r>
      <w:proofErr w:type="gramEnd"/>
      <w:r>
        <w:rPr>
          <w:rFonts w:ascii="Helvetica" w:eastAsia="Times New Roman" w:hAnsi="Helvetica" w:cs="Helvetica"/>
          <w:color w:val="141414"/>
          <w:sz w:val="27"/>
          <w:szCs w:val="27"/>
        </w:rPr>
        <w:t xml:space="preserve"> should be subject to the education and training requirements may be submitted to the Commission's Legal Division by calling (617) 371-9500.</w:t>
      </w:r>
    </w:p>
    <w:p w14:paraId="626D8662" w14:textId="6E1BF2F5" w:rsidR="004070F9" w:rsidRDefault="004070F9" w:rsidP="004070F9">
      <w:pPr>
        <w:spacing w:after="144"/>
        <w:outlineLvl w:val="3"/>
        <w:rPr>
          <w:rFonts w:ascii="Helvetica" w:eastAsia="Times New Roman" w:hAnsi="Helvetica" w:cs="Helvetica"/>
          <w:b/>
          <w:bCs/>
          <w:color w:val="141414"/>
          <w:sz w:val="24"/>
          <w:szCs w:val="24"/>
        </w:rPr>
      </w:pPr>
      <w:r>
        <w:rPr>
          <w:rFonts w:ascii="Helvetica" w:eastAsia="Times New Roman" w:hAnsi="Helvetica" w:cs="Helvetica"/>
          <w:b/>
          <w:bCs/>
          <w:color w:val="141414"/>
          <w:sz w:val="24"/>
          <w:szCs w:val="24"/>
        </w:rPr>
        <w:t>a.  Positions for which distribution of summaries and online training are required.</w:t>
      </w:r>
    </w:p>
    <w:p w14:paraId="1EC94574" w14:textId="77777777" w:rsidR="004070F9" w:rsidRDefault="004070F9" w:rsidP="004070F9">
      <w:pPr>
        <w:numPr>
          <w:ilvl w:val="0"/>
          <w:numId w:val="1"/>
        </w:numPr>
        <w:spacing w:before="100" w:beforeAutospacing="1"/>
        <w:rPr>
          <w:rFonts w:ascii="Helvetica" w:eastAsia="Times New Roman" w:hAnsi="Helvetica" w:cs="Helvetica"/>
          <w:color w:val="141414"/>
          <w:sz w:val="27"/>
          <w:szCs w:val="27"/>
        </w:rPr>
      </w:pPr>
      <w:r>
        <w:rPr>
          <w:rFonts w:ascii="Helvetica" w:eastAsia="Times New Roman" w:hAnsi="Helvetica" w:cs="Helvetica"/>
          <w:color w:val="141414"/>
          <w:sz w:val="27"/>
          <w:szCs w:val="27"/>
        </w:rPr>
        <w:t>All elected public positions, whether compensated or uncompensated.</w:t>
      </w:r>
    </w:p>
    <w:p w14:paraId="2A7A438A" w14:textId="77777777" w:rsidR="004070F9" w:rsidRDefault="004070F9" w:rsidP="004070F9">
      <w:pPr>
        <w:numPr>
          <w:ilvl w:val="0"/>
          <w:numId w:val="2"/>
        </w:numPr>
        <w:spacing w:before="100" w:beforeAutospacing="1" w:after="120"/>
        <w:rPr>
          <w:rFonts w:ascii="Helvetica" w:eastAsia="Times New Roman" w:hAnsi="Helvetica" w:cs="Helvetica"/>
          <w:color w:val="141414"/>
          <w:sz w:val="27"/>
          <w:szCs w:val="27"/>
        </w:rPr>
      </w:pPr>
      <w:r>
        <w:rPr>
          <w:rFonts w:ascii="Helvetica" w:eastAsia="Times New Roman" w:hAnsi="Helvetica" w:cs="Helvetica"/>
          <w:color w:val="141414"/>
          <w:sz w:val="27"/>
          <w:szCs w:val="27"/>
        </w:rPr>
        <w:t>All compensated, full-time public employee and official positions.</w:t>
      </w:r>
    </w:p>
    <w:p w14:paraId="2F7DDB27" w14:textId="77777777" w:rsidR="004070F9" w:rsidRDefault="004070F9" w:rsidP="004070F9">
      <w:pPr>
        <w:numPr>
          <w:ilvl w:val="0"/>
          <w:numId w:val="2"/>
        </w:numPr>
        <w:spacing w:before="100" w:beforeAutospacing="1" w:after="120"/>
        <w:rPr>
          <w:rFonts w:ascii="Helvetica" w:eastAsia="Times New Roman" w:hAnsi="Helvetica" w:cs="Helvetica"/>
          <w:color w:val="141414"/>
          <w:sz w:val="27"/>
          <w:szCs w:val="27"/>
        </w:rPr>
      </w:pPr>
      <w:r>
        <w:rPr>
          <w:rFonts w:ascii="Helvetica" w:eastAsia="Times New Roman" w:hAnsi="Helvetica" w:cs="Helvetica"/>
          <w:color w:val="141414"/>
          <w:sz w:val="27"/>
          <w:szCs w:val="27"/>
        </w:rPr>
        <w:t>All compensated, part-time public employee and official positions, (except for temporary or seasonal employee positions in which employees do not have or exercise governmental authority and do not participate in or have responsibility for government decision-making, contracting, hiring, investigation or any other discretionary governmental action, as set forth below in subsection b).</w:t>
      </w:r>
    </w:p>
    <w:p w14:paraId="0A4D2EBA" w14:textId="77777777" w:rsidR="004070F9" w:rsidRDefault="004070F9" w:rsidP="004070F9">
      <w:pPr>
        <w:numPr>
          <w:ilvl w:val="0"/>
          <w:numId w:val="2"/>
        </w:numPr>
        <w:spacing w:before="100" w:beforeAutospacing="1"/>
        <w:rPr>
          <w:rFonts w:ascii="Helvetica" w:eastAsia="Times New Roman" w:hAnsi="Helvetica" w:cs="Helvetica"/>
          <w:color w:val="141414"/>
          <w:sz w:val="27"/>
          <w:szCs w:val="27"/>
        </w:rPr>
      </w:pPr>
      <w:r>
        <w:rPr>
          <w:rFonts w:ascii="Helvetica" w:eastAsia="Times New Roman" w:hAnsi="Helvetica" w:cs="Helvetica"/>
          <w:color w:val="141414"/>
          <w:sz w:val="27"/>
          <w:szCs w:val="27"/>
        </w:rPr>
        <w:t xml:space="preserve">Any position, including volunteer positions, whether chosen by election, appointment or otherwise, in which the employee personally serves in or provides services to a public agency, whether paid or unpaid, and participates in or has responsibility for any government decision-making, </w:t>
      </w:r>
      <w:r>
        <w:rPr>
          <w:rFonts w:ascii="Helvetica" w:eastAsia="Times New Roman" w:hAnsi="Helvetica" w:cs="Helvetica"/>
          <w:color w:val="141414"/>
          <w:sz w:val="27"/>
          <w:szCs w:val="27"/>
        </w:rPr>
        <w:lastRenderedPageBreak/>
        <w:t>contracting, hiring, investigation or any other discretionary government action or otherwise has or exercises governmental authority.</w:t>
      </w:r>
    </w:p>
    <w:p w14:paraId="4E065AF4" w14:textId="77777777" w:rsidR="004070F9" w:rsidRDefault="004070F9" w:rsidP="004070F9">
      <w:pPr>
        <w:spacing w:after="144"/>
        <w:outlineLvl w:val="3"/>
        <w:rPr>
          <w:rFonts w:ascii="Helvetica" w:eastAsia="Times New Roman" w:hAnsi="Helvetica" w:cs="Helvetica"/>
          <w:b/>
          <w:bCs/>
          <w:color w:val="141414"/>
          <w:sz w:val="24"/>
          <w:szCs w:val="24"/>
        </w:rPr>
      </w:pPr>
      <w:r>
        <w:rPr>
          <w:rFonts w:ascii="Helvetica" w:eastAsia="Times New Roman" w:hAnsi="Helvetica" w:cs="Helvetica"/>
          <w:b/>
          <w:bCs/>
          <w:color w:val="141414"/>
          <w:sz w:val="24"/>
          <w:szCs w:val="24"/>
        </w:rPr>
        <w:t>b.  </w:t>
      </w:r>
      <w:r w:rsidRPr="00B81D4E">
        <w:rPr>
          <w:rFonts w:ascii="Helvetica" w:eastAsia="Times New Roman" w:hAnsi="Helvetica" w:cs="Helvetica"/>
          <w:b/>
          <w:bCs/>
          <w:color w:val="141414"/>
          <w:sz w:val="24"/>
          <w:szCs w:val="24"/>
          <w:highlight w:val="yellow"/>
        </w:rPr>
        <w:t xml:space="preserve">Positions which may be exempted from the distribution of summaries and the online training </w:t>
      </w:r>
      <w:proofErr w:type="gramStart"/>
      <w:r w:rsidRPr="00B81D4E">
        <w:rPr>
          <w:rFonts w:ascii="Helvetica" w:eastAsia="Times New Roman" w:hAnsi="Helvetica" w:cs="Helvetica"/>
          <w:b/>
          <w:bCs/>
          <w:color w:val="141414"/>
          <w:sz w:val="24"/>
          <w:szCs w:val="24"/>
          <w:highlight w:val="yellow"/>
        </w:rPr>
        <w:t>requirements</w:t>
      </w:r>
      <w:proofErr w:type="gramEnd"/>
    </w:p>
    <w:p w14:paraId="64DC241F" w14:textId="77777777" w:rsidR="004070F9" w:rsidRDefault="004070F9" w:rsidP="004070F9">
      <w:pPr>
        <w:spacing w:after="100" w:afterAutospacing="1"/>
        <w:rPr>
          <w:rFonts w:ascii="Helvetica" w:eastAsia="Times New Roman" w:hAnsi="Helvetica" w:cs="Helvetica"/>
          <w:color w:val="141414"/>
          <w:sz w:val="27"/>
          <w:szCs w:val="27"/>
        </w:rPr>
      </w:pPr>
      <w:r>
        <w:rPr>
          <w:rFonts w:ascii="Helvetica" w:eastAsia="Times New Roman" w:hAnsi="Helvetica" w:cs="Helvetica"/>
          <w:color w:val="141414"/>
          <w:sz w:val="27"/>
          <w:szCs w:val="27"/>
        </w:rPr>
        <w:t xml:space="preserve">A public employer may choose to exempt any or </w:t>
      </w:r>
      <w:proofErr w:type="gramStart"/>
      <w:r>
        <w:rPr>
          <w:rFonts w:ascii="Helvetica" w:eastAsia="Times New Roman" w:hAnsi="Helvetica" w:cs="Helvetica"/>
          <w:color w:val="141414"/>
          <w:sz w:val="27"/>
          <w:szCs w:val="27"/>
        </w:rPr>
        <w:t>all of</w:t>
      </w:r>
      <w:proofErr w:type="gramEnd"/>
      <w:r>
        <w:rPr>
          <w:rFonts w:ascii="Helvetica" w:eastAsia="Times New Roman" w:hAnsi="Helvetica" w:cs="Helvetica"/>
          <w:color w:val="141414"/>
          <w:sz w:val="27"/>
          <w:szCs w:val="27"/>
        </w:rPr>
        <w:t xml:space="preserve"> the following positions from one or both of the education and training requirements:</w:t>
      </w:r>
    </w:p>
    <w:p w14:paraId="6C629F29" w14:textId="77777777" w:rsidR="004070F9" w:rsidRDefault="004070F9" w:rsidP="004070F9">
      <w:pPr>
        <w:spacing w:after="100" w:afterAutospacing="1"/>
        <w:rPr>
          <w:rFonts w:ascii="Helvetica" w:eastAsia="Times New Roman" w:hAnsi="Helvetica" w:cs="Helvetica"/>
          <w:color w:val="141414"/>
          <w:sz w:val="27"/>
          <w:szCs w:val="27"/>
        </w:rPr>
      </w:pPr>
      <w:r>
        <w:rPr>
          <w:rFonts w:ascii="Helvetica" w:eastAsia="Times New Roman" w:hAnsi="Helvetica" w:cs="Helvetica"/>
          <w:color w:val="141414"/>
          <w:sz w:val="27"/>
          <w:szCs w:val="27"/>
        </w:rPr>
        <w:t>Unpaid volunteer positions in which employees do not have or exercise governmental authority and do not participate in or have responsibility for government decision-making, contracting, hiring, investigation or any other discretionary governmental action.</w:t>
      </w:r>
    </w:p>
    <w:p w14:paraId="1E80E94C" w14:textId="77777777" w:rsidR="004070F9" w:rsidRDefault="004070F9" w:rsidP="004070F9">
      <w:pPr>
        <w:outlineLvl w:val="4"/>
        <w:rPr>
          <w:rFonts w:ascii="Helvetica" w:eastAsia="Times New Roman" w:hAnsi="Helvetica" w:cs="Helvetica"/>
          <w:b/>
          <w:bCs/>
          <w:color w:val="141414"/>
          <w:sz w:val="20"/>
          <w:szCs w:val="20"/>
        </w:rPr>
      </w:pPr>
      <w:r>
        <w:rPr>
          <w:rFonts w:ascii="Helvetica" w:eastAsia="Times New Roman" w:hAnsi="Helvetica" w:cs="Helvetica"/>
          <w:b/>
          <w:bCs/>
          <w:color w:val="141414"/>
          <w:sz w:val="20"/>
          <w:szCs w:val="20"/>
        </w:rPr>
        <w:t>Examples:</w:t>
      </w:r>
    </w:p>
    <w:p w14:paraId="5282D6C2" w14:textId="77777777" w:rsidR="004070F9" w:rsidRDefault="004070F9" w:rsidP="004070F9">
      <w:pPr>
        <w:numPr>
          <w:ilvl w:val="0"/>
          <w:numId w:val="3"/>
        </w:numPr>
        <w:spacing w:before="100" w:beforeAutospacing="1"/>
        <w:ind w:left="1440"/>
        <w:rPr>
          <w:rFonts w:ascii="Helvetica" w:eastAsia="Times New Roman" w:hAnsi="Helvetica" w:cs="Helvetica"/>
          <w:color w:val="141414"/>
          <w:sz w:val="27"/>
          <w:szCs w:val="27"/>
        </w:rPr>
      </w:pPr>
      <w:r>
        <w:rPr>
          <w:rFonts w:ascii="Helvetica" w:eastAsia="Times New Roman" w:hAnsi="Helvetica" w:cs="Helvetica"/>
          <w:color w:val="141414"/>
          <w:sz w:val="27"/>
          <w:szCs w:val="27"/>
        </w:rPr>
        <w:t xml:space="preserve">library volunteer positions in which employees re-shelve books or read books to children during a story </w:t>
      </w:r>
      <w:proofErr w:type="gramStart"/>
      <w:r>
        <w:rPr>
          <w:rFonts w:ascii="Helvetica" w:eastAsia="Times New Roman" w:hAnsi="Helvetica" w:cs="Helvetica"/>
          <w:color w:val="141414"/>
          <w:sz w:val="27"/>
          <w:szCs w:val="27"/>
        </w:rPr>
        <w:t>hour;</w:t>
      </w:r>
      <w:proofErr w:type="gramEnd"/>
    </w:p>
    <w:p w14:paraId="0075BBA1" w14:textId="77777777" w:rsidR="004070F9" w:rsidRDefault="004070F9" w:rsidP="004070F9">
      <w:pPr>
        <w:numPr>
          <w:ilvl w:val="0"/>
          <w:numId w:val="4"/>
        </w:numPr>
        <w:spacing w:before="100" w:beforeAutospacing="1"/>
        <w:ind w:left="1440"/>
        <w:rPr>
          <w:rFonts w:ascii="Helvetica" w:eastAsia="Times New Roman" w:hAnsi="Helvetica" w:cs="Helvetica"/>
          <w:color w:val="141414"/>
          <w:sz w:val="27"/>
          <w:szCs w:val="27"/>
        </w:rPr>
      </w:pPr>
      <w:r>
        <w:rPr>
          <w:rFonts w:ascii="Helvetica" w:eastAsia="Times New Roman" w:hAnsi="Helvetica" w:cs="Helvetica"/>
          <w:color w:val="141414"/>
          <w:sz w:val="27"/>
          <w:szCs w:val="27"/>
        </w:rPr>
        <w:t xml:space="preserve">school volunteer positions in which employees come into the schools a few times a year to help with parties and projects, shelve books in the school library, or chaperone field trips and other school </w:t>
      </w:r>
      <w:proofErr w:type="gramStart"/>
      <w:r>
        <w:rPr>
          <w:rFonts w:ascii="Helvetica" w:eastAsia="Times New Roman" w:hAnsi="Helvetica" w:cs="Helvetica"/>
          <w:color w:val="141414"/>
          <w:sz w:val="27"/>
          <w:szCs w:val="27"/>
        </w:rPr>
        <w:t>events;</w:t>
      </w:r>
      <w:proofErr w:type="gramEnd"/>
      <w:r>
        <w:rPr>
          <w:rFonts w:ascii="Helvetica" w:eastAsia="Times New Roman" w:hAnsi="Helvetica" w:cs="Helvetica"/>
          <w:color w:val="141414"/>
          <w:sz w:val="27"/>
          <w:szCs w:val="27"/>
        </w:rPr>
        <w:t> </w:t>
      </w:r>
    </w:p>
    <w:p w14:paraId="3FABB939" w14:textId="77777777" w:rsidR="004070F9" w:rsidRDefault="004070F9" w:rsidP="004070F9">
      <w:pPr>
        <w:numPr>
          <w:ilvl w:val="0"/>
          <w:numId w:val="5"/>
        </w:numPr>
        <w:spacing w:before="100" w:beforeAutospacing="1"/>
        <w:ind w:left="1440"/>
        <w:rPr>
          <w:rFonts w:ascii="Helvetica" w:eastAsia="Times New Roman" w:hAnsi="Helvetica" w:cs="Helvetica"/>
          <w:color w:val="141414"/>
          <w:sz w:val="27"/>
          <w:szCs w:val="27"/>
        </w:rPr>
      </w:pPr>
      <w:r>
        <w:rPr>
          <w:rFonts w:ascii="Helvetica" w:eastAsia="Times New Roman" w:hAnsi="Helvetica" w:cs="Helvetica"/>
          <w:color w:val="141414"/>
          <w:sz w:val="27"/>
          <w:szCs w:val="27"/>
        </w:rPr>
        <w:t>volunteer positions in which employees pick up litter at parks or beaches, or participate in a town "Clean Up Day</w:t>
      </w:r>
      <w:proofErr w:type="gramStart"/>
      <w:r>
        <w:rPr>
          <w:rFonts w:ascii="Helvetica" w:eastAsia="Times New Roman" w:hAnsi="Helvetica" w:cs="Helvetica"/>
          <w:color w:val="141414"/>
          <w:sz w:val="27"/>
          <w:szCs w:val="27"/>
        </w:rPr>
        <w:t>";</w:t>
      </w:r>
      <w:proofErr w:type="gramEnd"/>
      <w:r>
        <w:rPr>
          <w:rFonts w:ascii="Helvetica" w:eastAsia="Times New Roman" w:hAnsi="Helvetica" w:cs="Helvetica"/>
          <w:color w:val="141414"/>
          <w:sz w:val="27"/>
          <w:szCs w:val="27"/>
        </w:rPr>
        <w:t> </w:t>
      </w:r>
    </w:p>
    <w:p w14:paraId="39EDA037" w14:textId="77777777" w:rsidR="004070F9" w:rsidRDefault="004070F9" w:rsidP="004070F9">
      <w:pPr>
        <w:numPr>
          <w:ilvl w:val="0"/>
          <w:numId w:val="6"/>
        </w:numPr>
        <w:spacing w:before="100" w:beforeAutospacing="1"/>
        <w:ind w:left="1440"/>
        <w:rPr>
          <w:rFonts w:ascii="Helvetica" w:eastAsia="Times New Roman" w:hAnsi="Helvetica" w:cs="Helvetica"/>
          <w:color w:val="141414"/>
          <w:sz w:val="27"/>
          <w:szCs w:val="27"/>
        </w:rPr>
      </w:pPr>
      <w:r>
        <w:rPr>
          <w:rFonts w:ascii="Helvetica" w:eastAsia="Times New Roman" w:hAnsi="Helvetica" w:cs="Helvetica"/>
          <w:color w:val="141414"/>
          <w:sz w:val="27"/>
          <w:szCs w:val="27"/>
        </w:rPr>
        <w:t xml:space="preserve">Senior Center or Parks and Recreation volunteer teacher </w:t>
      </w:r>
      <w:proofErr w:type="gramStart"/>
      <w:r>
        <w:rPr>
          <w:rFonts w:ascii="Helvetica" w:eastAsia="Times New Roman" w:hAnsi="Helvetica" w:cs="Helvetica"/>
          <w:color w:val="141414"/>
          <w:sz w:val="27"/>
          <w:szCs w:val="27"/>
        </w:rPr>
        <w:t>positions;</w:t>
      </w:r>
      <w:proofErr w:type="gramEnd"/>
    </w:p>
    <w:p w14:paraId="6C28417C" w14:textId="77777777" w:rsidR="004070F9" w:rsidRDefault="004070F9" w:rsidP="004070F9">
      <w:pPr>
        <w:numPr>
          <w:ilvl w:val="0"/>
          <w:numId w:val="7"/>
        </w:numPr>
        <w:spacing w:before="100" w:beforeAutospacing="1"/>
        <w:ind w:left="1440"/>
        <w:rPr>
          <w:rFonts w:ascii="Helvetica" w:eastAsia="Times New Roman" w:hAnsi="Helvetica" w:cs="Helvetica"/>
          <w:color w:val="141414"/>
          <w:sz w:val="27"/>
          <w:szCs w:val="27"/>
        </w:rPr>
      </w:pPr>
      <w:r>
        <w:rPr>
          <w:rFonts w:ascii="Helvetica" w:eastAsia="Times New Roman" w:hAnsi="Helvetica" w:cs="Helvetica"/>
          <w:color w:val="141414"/>
          <w:sz w:val="27"/>
          <w:szCs w:val="27"/>
        </w:rPr>
        <w:t>Positions in which volunteers assist with an event, such as a town July 4 </w:t>
      </w:r>
      <w:proofErr w:type="spellStart"/>
      <w:r>
        <w:rPr>
          <w:rFonts w:ascii="Helvetica" w:eastAsia="Times New Roman" w:hAnsi="Helvetica" w:cs="Helvetica"/>
          <w:color w:val="141414"/>
          <w:sz w:val="27"/>
          <w:szCs w:val="27"/>
        </w:rPr>
        <w:t>th</w:t>
      </w:r>
      <w:proofErr w:type="spellEnd"/>
      <w:r>
        <w:rPr>
          <w:rFonts w:ascii="Helvetica" w:eastAsia="Times New Roman" w:hAnsi="Helvetica" w:cs="Helvetica"/>
          <w:color w:val="141414"/>
          <w:sz w:val="27"/>
          <w:szCs w:val="27"/>
        </w:rPr>
        <w:t> celebration, by selling tickets, engaging in face painting, or helping "police" the grounds.</w:t>
      </w:r>
    </w:p>
    <w:p w14:paraId="5F651447" w14:textId="77777777" w:rsidR="004070F9" w:rsidRDefault="004070F9" w:rsidP="004070F9">
      <w:pPr>
        <w:spacing w:after="100" w:afterAutospacing="1"/>
        <w:rPr>
          <w:rFonts w:ascii="Helvetica" w:eastAsia="Times New Roman" w:hAnsi="Helvetica" w:cs="Helvetica"/>
          <w:color w:val="141414"/>
          <w:sz w:val="27"/>
          <w:szCs w:val="27"/>
        </w:rPr>
      </w:pPr>
      <w:r>
        <w:rPr>
          <w:rFonts w:ascii="Helvetica" w:eastAsia="Times New Roman" w:hAnsi="Helvetica" w:cs="Helvetica"/>
          <w:color w:val="141414"/>
          <w:sz w:val="27"/>
          <w:szCs w:val="27"/>
        </w:rPr>
        <w:t>Short-term temporary or seasonal compensated positions in which employees do not have or exercise governmental authority and do not participate in or have responsibility for government decision-making, contracting, hiring, investigation or any other discretionary governmental action.</w:t>
      </w:r>
    </w:p>
    <w:p w14:paraId="43C7C6BA" w14:textId="77777777" w:rsidR="004070F9" w:rsidRDefault="004070F9" w:rsidP="004070F9">
      <w:pPr>
        <w:outlineLvl w:val="4"/>
        <w:rPr>
          <w:rFonts w:ascii="Helvetica" w:eastAsia="Times New Roman" w:hAnsi="Helvetica" w:cs="Helvetica"/>
          <w:b/>
          <w:bCs/>
          <w:color w:val="141414"/>
          <w:sz w:val="20"/>
          <w:szCs w:val="20"/>
        </w:rPr>
      </w:pPr>
      <w:r w:rsidRPr="00B81D4E">
        <w:rPr>
          <w:rFonts w:ascii="Helvetica" w:eastAsia="Times New Roman" w:hAnsi="Helvetica" w:cs="Helvetica"/>
          <w:b/>
          <w:bCs/>
          <w:color w:val="141414"/>
          <w:sz w:val="20"/>
          <w:szCs w:val="20"/>
          <w:highlight w:val="yellow"/>
        </w:rPr>
        <w:t>Examples:</w:t>
      </w:r>
    </w:p>
    <w:p w14:paraId="621FACBA" w14:textId="77777777" w:rsidR="004070F9" w:rsidRDefault="004070F9" w:rsidP="004070F9">
      <w:pPr>
        <w:numPr>
          <w:ilvl w:val="0"/>
          <w:numId w:val="8"/>
        </w:numPr>
        <w:spacing w:before="100" w:beforeAutospacing="1"/>
        <w:ind w:left="1440"/>
        <w:rPr>
          <w:rFonts w:ascii="Helvetica" w:eastAsia="Times New Roman" w:hAnsi="Helvetica" w:cs="Helvetica"/>
          <w:color w:val="141414"/>
          <w:sz w:val="27"/>
          <w:szCs w:val="27"/>
        </w:rPr>
      </w:pPr>
      <w:r w:rsidRPr="00B81D4E">
        <w:rPr>
          <w:rFonts w:ascii="Helvetica" w:eastAsia="Times New Roman" w:hAnsi="Helvetica" w:cs="Helvetica"/>
          <w:color w:val="141414"/>
          <w:sz w:val="27"/>
          <w:szCs w:val="27"/>
          <w:highlight w:val="yellow"/>
        </w:rPr>
        <w:t>poll worker positions</w:t>
      </w:r>
      <w:r>
        <w:rPr>
          <w:rFonts w:ascii="Helvetica" w:eastAsia="Times New Roman" w:hAnsi="Helvetica" w:cs="Helvetica"/>
          <w:color w:val="141414"/>
          <w:sz w:val="27"/>
          <w:szCs w:val="27"/>
        </w:rPr>
        <w:t>. </w:t>
      </w:r>
    </w:p>
    <w:p w14:paraId="74324FA2" w14:textId="77777777" w:rsidR="004070F9" w:rsidRDefault="004070F9" w:rsidP="004070F9">
      <w:pPr>
        <w:numPr>
          <w:ilvl w:val="0"/>
          <w:numId w:val="9"/>
        </w:numPr>
        <w:spacing w:before="100" w:beforeAutospacing="1"/>
        <w:ind w:left="1440"/>
        <w:rPr>
          <w:rFonts w:ascii="Helvetica" w:eastAsia="Times New Roman" w:hAnsi="Helvetica" w:cs="Helvetica"/>
          <w:color w:val="141414"/>
          <w:sz w:val="27"/>
          <w:szCs w:val="27"/>
        </w:rPr>
      </w:pPr>
      <w:r w:rsidRPr="00B81D4E">
        <w:rPr>
          <w:rFonts w:ascii="Helvetica" w:eastAsia="Times New Roman" w:hAnsi="Helvetica" w:cs="Helvetica"/>
          <w:color w:val="141414"/>
          <w:sz w:val="27"/>
          <w:szCs w:val="27"/>
          <w:highlight w:val="yellow"/>
        </w:rPr>
        <w:t>non-supervisory seasonal positions</w:t>
      </w:r>
      <w:r>
        <w:rPr>
          <w:rFonts w:ascii="Helvetica" w:eastAsia="Times New Roman" w:hAnsi="Helvetica" w:cs="Helvetica"/>
          <w:color w:val="141414"/>
          <w:sz w:val="27"/>
          <w:szCs w:val="27"/>
        </w:rPr>
        <w:t>, such as, for example, lifeguards and snowplow operators. </w:t>
      </w:r>
    </w:p>
    <w:p w14:paraId="4925E18D" w14:textId="77777777" w:rsidR="004070F9" w:rsidRDefault="004070F9" w:rsidP="004070F9">
      <w:pPr>
        <w:numPr>
          <w:ilvl w:val="0"/>
          <w:numId w:val="10"/>
        </w:numPr>
        <w:spacing w:before="100" w:beforeAutospacing="1"/>
        <w:ind w:left="1440"/>
        <w:rPr>
          <w:rFonts w:ascii="Helvetica" w:eastAsia="Times New Roman" w:hAnsi="Helvetica" w:cs="Helvetica"/>
          <w:color w:val="141414"/>
          <w:sz w:val="27"/>
          <w:szCs w:val="27"/>
        </w:rPr>
      </w:pPr>
      <w:r>
        <w:rPr>
          <w:rFonts w:ascii="Helvetica" w:eastAsia="Times New Roman" w:hAnsi="Helvetica" w:cs="Helvetica"/>
          <w:color w:val="141414"/>
          <w:sz w:val="27"/>
          <w:szCs w:val="27"/>
        </w:rPr>
        <w:lastRenderedPageBreak/>
        <w:t>substitute teachers who work less than one day per week. </w:t>
      </w:r>
    </w:p>
    <w:p w14:paraId="4D4AC70C" w14:textId="77777777" w:rsidR="004070F9" w:rsidRDefault="004070F9" w:rsidP="004070F9">
      <w:pPr>
        <w:numPr>
          <w:ilvl w:val="0"/>
          <w:numId w:val="11"/>
        </w:numPr>
        <w:spacing w:before="100" w:beforeAutospacing="1"/>
        <w:ind w:left="1440"/>
        <w:rPr>
          <w:rFonts w:ascii="Helvetica" w:eastAsia="Times New Roman" w:hAnsi="Helvetica" w:cs="Helvetica"/>
          <w:color w:val="141414"/>
          <w:sz w:val="27"/>
          <w:szCs w:val="27"/>
        </w:rPr>
      </w:pPr>
      <w:r w:rsidRPr="00B81D4E">
        <w:rPr>
          <w:rFonts w:ascii="Helvetica" w:eastAsia="Times New Roman" w:hAnsi="Helvetica" w:cs="Helvetica"/>
          <w:color w:val="141414"/>
          <w:sz w:val="27"/>
          <w:szCs w:val="27"/>
          <w:highlight w:val="yellow"/>
        </w:rPr>
        <w:t>Participants in senior citizen tax abatement programs</w:t>
      </w:r>
      <w:r>
        <w:rPr>
          <w:rFonts w:ascii="Helvetica" w:eastAsia="Times New Roman" w:hAnsi="Helvetica" w:cs="Helvetica"/>
          <w:color w:val="141414"/>
          <w:sz w:val="27"/>
          <w:szCs w:val="27"/>
        </w:rPr>
        <w:t xml:space="preserve"> pursuant to General Laws chapter 59, section 5K, and Senior Corps, the Retired and Senior Volunteer Program, Foster Grandparents, Senior </w:t>
      </w:r>
      <w:proofErr w:type="gramStart"/>
      <w:r>
        <w:rPr>
          <w:rFonts w:ascii="Helvetica" w:eastAsia="Times New Roman" w:hAnsi="Helvetica" w:cs="Helvetica"/>
          <w:color w:val="141414"/>
          <w:sz w:val="27"/>
          <w:szCs w:val="27"/>
        </w:rPr>
        <w:t>Companions</w:t>
      </w:r>
      <w:proofErr w:type="gramEnd"/>
      <w:r>
        <w:rPr>
          <w:rFonts w:ascii="Helvetica" w:eastAsia="Times New Roman" w:hAnsi="Helvetica" w:cs="Helvetica"/>
          <w:color w:val="141414"/>
          <w:sz w:val="27"/>
          <w:szCs w:val="27"/>
        </w:rPr>
        <w:t xml:space="preserve"> and comparable programs. </w:t>
      </w:r>
    </w:p>
    <w:p w14:paraId="48C2F59E" w14:textId="77777777" w:rsidR="004070F9" w:rsidRDefault="004070F9" w:rsidP="004070F9">
      <w:pPr>
        <w:numPr>
          <w:ilvl w:val="0"/>
          <w:numId w:val="12"/>
        </w:numPr>
        <w:spacing w:before="100" w:beforeAutospacing="1"/>
        <w:ind w:left="1440"/>
        <w:rPr>
          <w:rFonts w:ascii="Helvetica" w:eastAsia="Times New Roman" w:hAnsi="Helvetica" w:cs="Helvetica"/>
          <w:color w:val="141414"/>
          <w:sz w:val="27"/>
          <w:szCs w:val="27"/>
        </w:rPr>
      </w:pPr>
      <w:r>
        <w:rPr>
          <w:rFonts w:ascii="Helvetica" w:eastAsia="Times New Roman" w:hAnsi="Helvetica" w:cs="Helvetica"/>
          <w:color w:val="141414"/>
          <w:sz w:val="27"/>
          <w:szCs w:val="27"/>
        </w:rPr>
        <w:t>Medical Reserve Corps volunteers. </w:t>
      </w:r>
    </w:p>
    <w:p w14:paraId="7A559B91" w14:textId="77777777" w:rsidR="004070F9" w:rsidRDefault="004070F9" w:rsidP="004070F9">
      <w:pPr>
        <w:numPr>
          <w:ilvl w:val="0"/>
          <w:numId w:val="13"/>
        </w:numPr>
        <w:spacing w:before="100" w:beforeAutospacing="1"/>
        <w:ind w:left="1440"/>
        <w:rPr>
          <w:rFonts w:ascii="Helvetica" w:eastAsia="Times New Roman" w:hAnsi="Helvetica" w:cs="Helvetica"/>
          <w:color w:val="141414"/>
          <w:sz w:val="27"/>
          <w:szCs w:val="27"/>
        </w:rPr>
      </w:pPr>
      <w:r>
        <w:rPr>
          <w:rFonts w:ascii="Helvetica" w:eastAsia="Times New Roman" w:hAnsi="Helvetica" w:cs="Helvetica"/>
          <w:color w:val="141414"/>
          <w:sz w:val="27"/>
          <w:szCs w:val="27"/>
        </w:rPr>
        <w:t>High school, college and graduate school students participating in summer and work-study employment, whether paid or unpaid. </w:t>
      </w:r>
    </w:p>
    <w:p w14:paraId="413DFC77" w14:textId="77777777" w:rsidR="004070F9" w:rsidRDefault="004070F9" w:rsidP="004070F9">
      <w:pPr>
        <w:numPr>
          <w:ilvl w:val="0"/>
          <w:numId w:val="14"/>
        </w:numPr>
        <w:spacing w:before="100" w:beforeAutospacing="1"/>
        <w:ind w:left="1440"/>
        <w:rPr>
          <w:rFonts w:ascii="Helvetica" w:eastAsia="Times New Roman" w:hAnsi="Helvetica" w:cs="Helvetica"/>
          <w:color w:val="141414"/>
          <w:sz w:val="27"/>
          <w:szCs w:val="27"/>
        </w:rPr>
      </w:pPr>
      <w:r>
        <w:rPr>
          <w:rFonts w:ascii="Helvetica" w:eastAsia="Times New Roman" w:hAnsi="Helvetica" w:cs="Helvetica"/>
          <w:color w:val="141414"/>
          <w:sz w:val="27"/>
          <w:szCs w:val="27"/>
        </w:rPr>
        <w:t>Participants in programs of the Department of Mental Health who are patients in a therapeutic program that includes employment. </w:t>
      </w:r>
    </w:p>
    <w:p w14:paraId="020B4590" w14:textId="77777777" w:rsidR="004070F9" w:rsidRDefault="004070F9" w:rsidP="004070F9">
      <w:pPr>
        <w:numPr>
          <w:ilvl w:val="0"/>
          <w:numId w:val="15"/>
        </w:numPr>
        <w:spacing w:before="100" w:beforeAutospacing="1"/>
        <w:ind w:left="1440"/>
        <w:rPr>
          <w:rFonts w:ascii="Helvetica" w:eastAsia="Times New Roman" w:hAnsi="Helvetica" w:cs="Helvetica"/>
          <w:color w:val="141414"/>
          <w:sz w:val="27"/>
          <w:szCs w:val="27"/>
        </w:rPr>
      </w:pPr>
      <w:r>
        <w:rPr>
          <w:rFonts w:ascii="Helvetica" w:eastAsia="Times New Roman" w:hAnsi="Helvetica" w:cs="Helvetica"/>
          <w:color w:val="141414"/>
          <w:sz w:val="27"/>
          <w:szCs w:val="27"/>
        </w:rPr>
        <w:t>Individual vendors and contractors to public agencies who provide one day or less of services per calendar year.</w:t>
      </w:r>
    </w:p>
    <w:p w14:paraId="0578611C" w14:textId="77777777" w:rsidR="004070F9" w:rsidRDefault="004070F9" w:rsidP="004070F9">
      <w:pPr>
        <w:numPr>
          <w:ilvl w:val="0"/>
          <w:numId w:val="16"/>
        </w:numPr>
        <w:spacing w:before="100" w:beforeAutospacing="1"/>
        <w:ind w:left="1440"/>
        <w:rPr>
          <w:rFonts w:ascii="Helvetica" w:eastAsia="Times New Roman" w:hAnsi="Helvetica" w:cs="Helvetica"/>
          <w:color w:val="141414"/>
          <w:sz w:val="27"/>
          <w:szCs w:val="27"/>
        </w:rPr>
      </w:pPr>
      <w:r>
        <w:rPr>
          <w:rFonts w:ascii="Helvetica" w:eastAsia="Times New Roman" w:hAnsi="Helvetica" w:cs="Helvetica"/>
          <w:color w:val="141414"/>
          <w:sz w:val="27"/>
          <w:szCs w:val="27"/>
        </w:rPr>
        <w:t>Participants in volunteer programs whose names are not available or known to any public agency, such as, for instance, town residents who help shovel snow or clean up after a flood.</w:t>
      </w:r>
    </w:p>
    <w:p w14:paraId="763220B3" w14:textId="77777777" w:rsidR="004070F9" w:rsidRDefault="004070F9" w:rsidP="004070F9"/>
    <w:p w14:paraId="303CD2DE" w14:textId="77777777" w:rsidR="00301159" w:rsidRDefault="00301159"/>
    <w:sectPr w:rsidR="00301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74979"/>
    <w:multiLevelType w:val="multilevel"/>
    <w:tmpl w:val="EB885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B162D"/>
    <w:multiLevelType w:val="multilevel"/>
    <w:tmpl w:val="D9902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47284"/>
    <w:multiLevelType w:val="multilevel"/>
    <w:tmpl w:val="EF845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52470F"/>
    <w:multiLevelType w:val="multilevel"/>
    <w:tmpl w:val="8430B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24759"/>
    <w:multiLevelType w:val="multilevel"/>
    <w:tmpl w:val="C97AF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F2DF3"/>
    <w:multiLevelType w:val="multilevel"/>
    <w:tmpl w:val="029A0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B0533"/>
    <w:multiLevelType w:val="multilevel"/>
    <w:tmpl w:val="63B46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5D7642"/>
    <w:multiLevelType w:val="multilevel"/>
    <w:tmpl w:val="064E4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F751B9"/>
    <w:multiLevelType w:val="multilevel"/>
    <w:tmpl w:val="D80E4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773CBB"/>
    <w:multiLevelType w:val="multilevel"/>
    <w:tmpl w:val="40820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A035C4"/>
    <w:multiLevelType w:val="multilevel"/>
    <w:tmpl w:val="CE9CD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820847"/>
    <w:multiLevelType w:val="multilevel"/>
    <w:tmpl w:val="9C969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404C5"/>
    <w:multiLevelType w:val="multilevel"/>
    <w:tmpl w:val="5F081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6B73AA"/>
    <w:multiLevelType w:val="multilevel"/>
    <w:tmpl w:val="1174C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5261CD"/>
    <w:multiLevelType w:val="multilevel"/>
    <w:tmpl w:val="7626F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3717DB"/>
    <w:multiLevelType w:val="multilevel"/>
    <w:tmpl w:val="C8A62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10"/>
  </w:num>
  <w:num w:numId="5">
    <w:abstractNumId w:val="14"/>
  </w:num>
  <w:num w:numId="6">
    <w:abstractNumId w:val="0"/>
  </w:num>
  <w:num w:numId="7">
    <w:abstractNumId w:val="5"/>
  </w:num>
  <w:num w:numId="8">
    <w:abstractNumId w:val="8"/>
  </w:num>
  <w:num w:numId="9">
    <w:abstractNumId w:val="2"/>
  </w:num>
  <w:num w:numId="10">
    <w:abstractNumId w:val="7"/>
  </w:num>
  <w:num w:numId="11">
    <w:abstractNumId w:val="12"/>
  </w:num>
  <w:num w:numId="12">
    <w:abstractNumId w:val="11"/>
  </w:num>
  <w:num w:numId="13">
    <w:abstractNumId w:val="9"/>
  </w:num>
  <w:num w:numId="14">
    <w:abstractNumId w:val="13"/>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0F9"/>
    <w:rsid w:val="00301159"/>
    <w:rsid w:val="004070F9"/>
    <w:rsid w:val="00B81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085A"/>
  <w15:chartTrackingRefBased/>
  <w15:docId w15:val="{4444B100-C7ED-4249-809D-BFD9CD8A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0F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39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4126</Characters>
  <Application>Microsoft Office Word</Application>
  <DocSecurity>4</DocSecurity>
  <Lines>34</Lines>
  <Paragraphs>9</Paragraphs>
  <ScaleCrop>false</ScaleCrop>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Becker</dc:creator>
  <cp:keywords/>
  <dc:description/>
  <cp:lastModifiedBy>Laurie Becker</cp:lastModifiedBy>
  <cp:revision>2</cp:revision>
  <dcterms:created xsi:type="dcterms:W3CDTF">2021-02-18T15:43:00Z</dcterms:created>
  <dcterms:modified xsi:type="dcterms:W3CDTF">2021-02-18T15:43:00Z</dcterms:modified>
</cp:coreProperties>
</file>